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C8" w:rsidRDefault="00B06BC8" w:rsidP="00B06BC8">
      <w:pPr>
        <w:rPr>
          <w:b/>
        </w:rPr>
      </w:pPr>
      <w:r>
        <w:rPr>
          <w:noProof/>
        </w:rPr>
        <w:drawing>
          <wp:inline distT="0" distB="0" distL="0" distR="0" wp14:anchorId="66FFEE08" wp14:editId="035B9D33">
            <wp:extent cx="1143000" cy="1209675"/>
            <wp:effectExtent l="0" t="0" r="0" b="9525"/>
            <wp:docPr id="3" name="Picture 3" descr="MHSLAlogo111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HSLAlogo1115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 w:rsidR="002E14C4" w:rsidRPr="002E14C4">
        <w:rPr>
          <w:b/>
        </w:rPr>
        <w:t>Education Committee</w:t>
      </w:r>
      <w:r>
        <w:rPr>
          <w:b/>
        </w:rPr>
        <w:t xml:space="preserve"> </w:t>
      </w:r>
    </w:p>
    <w:p w:rsidR="00B06BC8" w:rsidRDefault="00B06BC8" w:rsidP="00B06BC8">
      <w:r>
        <w:rPr>
          <w:b/>
        </w:rPr>
        <w:t xml:space="preserve">                                                  </w:t>
      </w:r>
      <w:r w:rsidRPr="00A01F58">
        <w:rPr>
          <w:b/>
        </w:rPr>
        <w:t>Report</w:t>
      </w:r>
      <w:r w:rsidR="00925C7D">
        <w:rPr>
          <w:b/>
        </w:rPr>
        <w:t xml:space="preserve"> </w:t>
      </w:r>
      <w:r w:rsidR="005E76D2">
        <w:rPr>
          <w:b/>
        </w:rPr>
        <w:t>March</w:t>
      </w:r>
      <w:r>
        <w:rPr>
          <w:b/>
        </w:rPr>
        <w:t xml:space="preserve"> 21, 2014</w:t>
      </w:r>
    </w:p>
    <w:p w:rsidR="00B06BC8" w:rsidRDefault="00B06BC8" w:rsidP="00B06BC8">
      <w:pPr>
        <w:rPr>
          <w:rFonts w:ascii="AGaramond" w:hAnsi="AGaramond"/>
          <w:b/>
          <w:bCs/>
          <w:color w:val="000080"/>
          <w:sz w:val="16"/>
        </w:rPr>
      </w:pPr>
      <w:r>
        <w:rPr>
          <w:rFonts w:ascii="AGaramond" w:hAnsi="AGaramond"/>
          <w:b/>
          <w:bCs/>
          <w:color w:val="000080"/>
          <w:sz w:val="16"/>
        </w:rPr>
        <w:t>M I C H I G A N</w:t>
      </w:r>
      <w:r w:rsidR="00D177C3">
        <w:rPr>
          <w:rFonts w:ascii="AGaramond" w:hAnsi="AGaramond"/>
          <w:b/>
          <w:bCs/>
          <w:color w:val="000080"/>
          <w:sz w:val="16"/>
        </w:rPr>
        <w:tab/>
      </w:r>
      <w:r w:rsidR="00D177C3">
        <w:rPr>
          <w:rFonts w:ascii="AGaramond" w:hAnsi="AGaramond"/>
          <w:b/>
          <w:bCs/>
          <w:color w:val="000080"/>
          <w:sz w:val="16"/>
        </w:rPr>
        <w:tab/>
      </w:r>
      <w:r w:rsidR="00D177C3">
        <w:rPr>
          <w:rFonts w:ascii="AGaramond" w:hAnsi="AGaramond"/>
          <w:b/>
          <w:bCs/>
          <w:color w:val="000080"/>
          <w:sz w:val="16"/>
        </w:rPr>
        <w:tab/>
        <w:t xml:space="preserve">   </w:t>
      </w:r>
    </w:p>
    <w:p w:rsidR="00B06BC8" w:rsidRDefault="00B06BC8" w:rsidP="00B06BC8">
      <w:pPr>
        <w:rPr>
          <w:rFonts w:ascii="AGaramond" w:hAnsi="AGaramond"/>
          <w:b/>
          <w:bCs/>
          <w:color w:val="000080"/>
          <w:sz w:val="16"/>
        </w:rPr>
      </w:pPr>
    </w:p>
    <w:p w:rsidR="00B06BC8" w:rsidRDefault="00B06BC8" w:rsidP="00B06BC8">
      <w:pPr>
        <w:rPr>
          <w:rFonts w:ascii="AGaramond" w:hAnsi="AGaramond"/>
          <w:b/>
          <w:bCs/>
          <w:color w:val="000080"/>
          <w:sz w:val="16"/>
        </w:rPr>
      </w:pPr>
      <w:r>
        <w:rPr>
          <w:rFonts w:ascii="AGaramond" w:hAnsi="AGaramond"/>
          <w:b/>
          <w:bCs/>
          <w:color w:val="000080"/>
          <w:sz w:val="16"/>
        </w:rPr>
        <w:t xml:space="preserve">H E A L T H  S C I E N C E S </w:t>
      </w:r>
    </w:p>
    <w:p w:rsidR="00B06BC8" w:rsidRDefault="00B06BC8" w:rsidP="00B06BC8">
      <w:pPr>
        <w:rPr>
          <w:rFonts w:ascii="AGaramond" w:hAnsi="AGaramond"/>
          <w:b/>
          <w:bCs/>
          <w:color w:val="000080"/>
          <w:sz w:val="16"/>
        </w:rPr>
      </w:pPr>
    </w:p>
    <w:p w:rsidR="00B06BC8" w:rsidRDefault="00B06BC8" w:rsidP="00B06BC8">
      <w:pPr>
        <w:rPr>
          <w:rFonts w:ascii="AGaramond" w:hAnsi="AGaramond"/>
          <w:b/>
          <w:bCs/>
          <w:color w:val="000080"/>
          <w:sz w:val="16"/>
        </w:rPr>
      </w:pPr>
      <w:r>
        <w:rPr>
          <w:rFonts w:ascii="AGaramond" w:hAnsi="AGaramond"/>
          <w:b/>
          <w:bCs/>
          <w:color w:val="000080"/>
          <w:sz w:val="16"/>
        </w:rPr>
        <w:t xml:space="preserve">L I B R A R I E S </w:t>
      </w:r>
    </w:p>
    <w:p w:rsidR="00B06BC8" w:rsidRDefault="00B06BC8" w:rsidP="00B06BC8">
      <w:pPr>
        <w:rPr>
          <w:rFonts w:ascii="AGaramond" w:hAnsi="AGaramond"/>
          <w:b/>
          <w:bCs/>
          <w:color w:val="000080"/>
          <w:sz w:val="16"/>
        </w:rPr>
      </w:pPr>
    </w:p>
    <w:p w:rsidR="00B06BC8" w:rsidRDefault="00B06BC8" w:rsidP="00B06BC8">
      <w:pPr>
        <w:rPr>
          <w:rFonts w:ascii="AGaramond" w:hAnsi="AGaramond"/>
          <w:b/>
          <w:bCs/>
          <w:color w:val="000080"/>
          <w:sz w:val="16"/>
        </w:rPr>
      </w:pPr>
      <w:r>
        <w:rPr>
          <w:rFonts w:ascii="AGaramond" w:hAnsi="AGaramond"/>
          <w:b/>
          <w:bCs/>
          <w:color w:val="000080"/>
          <w:sz w:val="16"/>
        </w:rPr>
        <w:t xml:space="preserve">A S S O C I A T I O N </w:t>
      </w:r>
    </w:p>
    <w:p w:rsidR="00B06BC8" w:rsidRDefault="00B06BC8" w:rsidP="00B06BC8">
      <w:pPr>
        <w:rPr>
          <w:rFonts w:ascii="AGaramond" w:hAnsi="AGaramond"/>
          <w:b/>
          <w:bCs/>
          <w:color w:val="000080"/>
          <w:sz w:val="16"/>
        </w:rPr>
      </w:pPr>
    </w:p>
    <w:p w:rsidR="00B06BC8" w:rsidRDefault="00B06BC8" w:rsidP="00B06BC8">
      <w:pPr>
        <w:rPr>
          <w:rFonts w:ascii="AGaramond" w:hAnsi="AGaramond"/>
          <w:b/>
          <w:bCs/>
          <w:color w:val="000080"/>
          <w:sz w:val="16"/>
        </w:rPr>
      </w:pPr>
      <w:r>
        <w:rPr>
          <w:rFonts w:ascii="AGaramond" w:hAnsi="AGaramond"/>
          <w:b/>
          <w:bCs/>
          <w:color w:val="000080"/>
          <w:sz w:val="16"/>
        </w:rPr>
        <w:t>w w w . m h s l a . o r g</w:t>
      </w:r>
    </w:p>
    <w:p w:rsidR="00B06BC8" w:rsidRDefault="00B06BC8" w:rsidP="00B06BC8"/>
    <w:p w:rsidR="00B06BC8" w:rsidRPr="00A01F58" w:rsidRDefault="002E14C4" w:rsidP="00B06BC8">
      <w:pPr>
        <w:rPr>
          <w:b/>
          <w:u w:val="single"/>
        </w:rPr>
      </w:pPr>
      <w:r>
        <w:rPr>
          <w:b/>
          <w:u w:val="single"/>
        </w:rPr>
        <w:t>2013-14 Education Committee</w:t>
      </w:r>
    </w:p>
    <w:p w:rsidR="00D177C3" w:rsidRDefault="00D177C3" w:rsidP="00B06BC8">
      <w:r>
        <w:t>Melanie Bednarski</w:t>
      </w:r>
    </w:p>
    <w:p w:rsidR="00D177C3" w:rsidRDefault="00D177C3" w:rsidP="00B06BC8">
      <w:r>
        <w:t>Diane Hummel</w:t>
      </w:r>
    </w:p>
    <w:p w:rsidR="00D177C3" w:rsidRDefault="00D177C3" w:rsidP="00B06BC8">
      <w:r>
        <w:t>Andrea Kepsel, Chair</w:t>
      </w:r>
    </w:p>
    <w:p w:rsidR="00D177C3" w:rsidRDefault="00D177C3" w:rsidP="00B06BC8">
      <w:r>
        <w:t>Sherri McConnell</w:t>
      </w:r>
    </w:p>
    <w:p w:rsidR="00D177C3" w:rsidRDefault="00D177C3" w:rsidP="00B06BC8">
      <w:r>
        <w:t>Alexandra Sarkozy</w:t>
      </w:r>
    </w:p>
    <w:p w:rsidR="00D177C3" w:rsidRDefault="00D177C3" w:rsidP="00B06BC8">
      <w:r>
        <w:t>Kate Saylor</w:t>
      </w:r>
    </w:p>
    <w:p w:rsidR="00D177C3" w:rsidRDefault="00D177C3" w:rsidP="00B06BC8">
      <w:r>
        <w:t>Patty Supnick</w:t>
      </w:r>
    </w:p>
    <w:p w:rsidR="002E14C4" w:rsidRDefault="002E14C4" w:rsidP="00B06BC8"/>
    <w:p w:rsidR="00B06BC8" w:rsidRDefault="00B06BC8" w:rsidP="00B06BC8"/>
    <w:p w:rsidR="00ED4DE3" w:rsidRDefault="003B7D8E" w:rsidP="00B06BC8">
      <w:r>
        <w:t>The Education Committee has received signed letters of agreement to speak/teach at the conference from all but two speakers, and these are expected to arrive this week.</w:t>
      </w:r>
    </w:p>
    <w:p w:rsidR="00D177C3" w:rsidRDefault="00D177C3" w:rsidP="00B06BC8"/>
    <w:p w:rsidR="003B7D8E" w:rsidRDefault="003B7D8E" w:rsidP="00B06BC8">
      <w:r>
        <w:t>Based on the proposed Education and Local Arrangements budgets, proposed vendor support, and attendance trends from the last few years, conference fees can remain the same as 2013 (</w:t>
      </w:r>
      <w:r w:rsidR="00EE4F36">
        <w:t>pending</w:t>
      </w:r>
      <w:r>
        <w:t xml:space="preserve"> on board approval).  At these costs we will need 33.4 full conference registrants to break even, which is</w:t>
      </w:r>
      <w:r w:rsidR="00EE4F36">
        <w:t xml:space="preserve"> on par with what we have had in the past.</w:t>
      </w:r>
      <w:r>
        <w:t xml:space="preserve">  The breakdown of fees is as follows:</w:t>
      </w:r>
    </w:p>
    <w:p w:rsidR="003B7D8E" w:rsidRDefault="003B7D8E" w:rsidP="00B06BC8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28"/>
        <w:gridCol w:w="1620"/>
        <w:gridCol w:w="2340"/>
      </w:tblGrid>
      <w:tr w:rsidR="00EE4F36" w:rsidTr="00C477DE">
        <w:trPr>
          <w:jc w:val="center"/>
        </w:trPr>
        <w:tc>
          <w:tcPr>
            <w:tcW w:w="3528" w:type="dxa"/>
          </w:tcPr>
          <w:p w:rsidR="00EE4F36" w:rsidRDefault="00EE4F36" w:rsidP="00B06BC8"/>
        </w:tc>
        <w:tc>
          <w:tcPr>
            <w:tcW w:w="1620" w:type="dxa"/>
          </w:tcPr>
          <w:p w:rsidR="00EE4F36" w:rsidRPr="00EE4F36" w:rsidRDefault="00EE4F36" w:rsidP="00EE4F36">
            <w:pPr>
              <w:jc w:val="center"/>
              <w:rPr>
                <w:b/>
              </w:rPr>
            </w:pPr>
            <w:r w:rsidRPr="00EE4F36">
              <w:rPr>
                <w:b/>
              </w:rPr>
              <w:t>Member Fee</w:t>
            </w:r>
          </w:p>
        </w:tc>
        <w:tc>
          <w:tcPr>
            <w:tcW w:w="2340" w:type="dxa"/>
          </w:tcPr>
          <w:p w:rsidR="00EE4F36" w:rsidRPr="00EE4F36" w:rsidRDefault="00EE4F36" w:rsidP="00EE4F36">
            <w:pPr>
              <w:jc w:val="center"/>
              <w:rPr>
                <w:b/>
              </w:rPr>
            </w:pPr>
            <w:r w:rsidRPr="00EE4F36">
              <w:rPr>
                <w:b/>
              </w:rPr>
              <w:t>Non-</w:t>
            </w:r>
            <w:r>
              <w:rPr>
                <w:b/>
              </w:rPr>
              <w:t>M</w:t>
            </w:r>
            <w:r w:rsidRPr="00EE4F36">
              <w:rPr>
                <w:b/>
              </w:rPr>
              <w:t>ember Fee</w:t>
            </w:r>
          </w:p>
        </w:tc>
      </w:tr>
      <w:tr w:rsidR="00EE4F36" w:rsidTr="00C477DE">
        <w:trPr>
          <w:jc w:val="center"/>
        </w:trPr>
        <w:tc>
          <w:tcPr>
            <w:tcW w:w="3528" w:type="dxa"/>
          </w:tcPr>
          <w:p w:rsidR="00EE4F36" w:rsidRPr="00EE4F36" w:rsidRDefault="00EE4F36" w:rsidP="00FD3AC7">
            <w:pPr>
              <w:rPr>
                <w:b/>
              </w:rPr>
            </w:pPr>
            <w:r w:rsidRPr="00EE4F36">
              <w:rPr>
                <w:b/>
              </w:rPr>
              <w:t>Full Conference Fee</w:t>
            </w:r>
          </w:p>
        </w:tc>
        <w:tc>
          <w:tcPr>
            <w:tcW w:w="1620" w:type="dxa"/>
          </w:tcPr>
          <w:p w:rsidR="00EE4F36" w:rsidRDefault="00EE4F36" w:rsidP="00EE4F36">
            <w:pPr>
              <w:jc w:val="center"/>
            </w:pPr>
            <w:r>
              <w:t>$ 310</w:t>
            </w:r>
          </w:p>
        </w:tc>
        <w:tc>
          <w:tcPr>
            <w:tcW w:w="2340" w:type="dxa"/>
          </w:tcPr>
          <w:p w:rsidR="00EE4F36" w:rsidRDefault="00EE4F36" w:rsidP="00EE4F36">
            <w:pPr>
              <w:jc w:val="center"/>
            </w:pPr>
            <w:r>
              <w:t>$ 360</w:t>
            </w:r>
          </w:p>
        </w:tc>
      </w:tr>
      <w:tr w:rsidR="00EE4F36" w:rsidTr="00C477DE">
        <w:trPr>
          <w:jc w:val="center"/>
        </w:trPr>
        <w:tc>
          <w:tcPr>
            <w:tcW w:w="3528" w:type="dxa"/>
          </w:tcPr>
          <w:p w:rsidR="00EE4F36" w:rsidRPr="00EE4F36" w:rsidRDefault="00EE4F36" w:rsidP="00FD3AC7">
            <w:pPr>
              <w:rPr>
                <w:b/>
              </w:rPr>
            </w:pPr>
            <w:r w:rsidRPr="00EE4F36">
              <w:rPr>
                <w:b/>
              </w:rPr>
              <w:t>Two Day Fee</w:t>
            </w:r>
          </w:p>
        </w:tc>
        <w:tc>
          <w:tcPr>
            <w:tcW w:w="1620" w:type="dxa"/>
          </w:tcPr>
          <w:p w:rsidR="00EE4F36" w:rsidRDefault="00EE4F36" w:rsidP="00EE4F36">
            <w:pPr>
              <w:jc w:val="center"/>
            </w:pPr>
            <w:r>
              <w:t>$ 255</w:t>
            </w:r>
          </w:p>
        </w:tc>
        <w:tc>
          <w:tcPr>
            <w:tcW w:w="2340" w:type="dxa"/>
          </w:tcPr>
          <w:p w:rsidR="00EE4F36" w:rsidRDefault="00EE4F36" w:rsidP="00EE4F36">
            <w:pPr>
              <w:jc w:val="center"/>
            </w:pPr>
            <w:r>
              <w:t>$ 305</w:t>
            </w:r>
          </w:p>
        </w:tc>
      </w:tr>
      <w:tr w:rsidR="00EE4F36" w:rsidTr="00C477DE">
        <w:trPr>
          <w:jc w:val="center"/>
        </w:trPr>
        <w:tc>
          <w:tcPr>
            <w:tcW w:w="3528" w:type="dxa"/>
          </w:tcPr>
          <w:p w:rsidR="00EE4F36" w:rsidRPr="00EE4F36" w:rsidRDefault="00EE4F36" w:rsidP="00FD3AC7">
            <w:pPr>
              <w:rPr>
                <w:b/>
              </w:rPr>
            </w:pPr>
            <w:r w:rsidRPr="00EE4F36">
              <w:rPr>
                <w:b/>
              </w:rPr>
              <w:t>One Day Fee</w:t>
            </w:r>
          </w:p>
        </w:tc>
        <w:tc>
          <w:tcPr>
            <w:tcW w:w="1620" w:type="dxa"/>
          </w:tcPr>
          <w:p w:rsidR="00EE4F36" w:rsidRDefault="00EE4F36" w:rsidP="00EE4F36">
            <w:pPr>
              <w:jc w:val="center"/>
            </w:pPr>
            <w:r>
              <w:t>$ 155</w:t>
            </w:r>
          </w:p>
        </w:tc>
        <w:tc>
          <w:tcPr>
            <w:tcW w:w="2340" w:type="dxa"/>
          </w:tcPr>
          <w:p w:rsidR="00EE4F36" w:rsidRDefault="00EE4F36" w:rsidP="00EE4F36">
            <w:pPr>
              <w:jc w:val="center"/>
            </w:pPr>
            <w:r>
              <w:t>$ 205</w:t>
            </w:r>
          </w:p>
        </w:tc>
      </w:tr>
      <w:tr w:rsidR="00EE4F36" w:rsidTr="00C477DE">
        <w:trPr>
          <w:jc w:val="center"/>
        </w:trPr>
        <w:tc>
          <w:tcPr>
            <w:tcW w:w="3528" w:type="dxa"/>
          </w:tcPr>
          <w:p w:rsidR="00EE4F36" w:rsidRPr="00EE4F36" w:rsidRDefault="00EE4F36" w:rsidP="00FD3AC7">
            <w:pPr>
              <w:rPr>
                <w:b/>
              </w:rPr>
            </w:pPr>
            <w:r w:rsidRPr="00EE4F36">
              <w:rPr>
                <w:b/>
              </w:rPr>
              <w:t>Additional Special Event Ticket</w:t>
            </w:r>
          </w:p>
        </w:tc>
        <w:tc>
          <w:tcPr>
            <w:tcW w:w="1620" w:type="dxa"/>
          </w:tcPr>
          <w:p w:rsidR="00EE4F36" w:rsidRDefault="00EE4F36" w:rsidP="00EE4F36">
            <w:pPr>
              <w:jc w:val="center"/>
            </w:pPr>
            <w:r>
              <w:t>$ 50</w:t>
            </w:r>
          </w:p>
        </w:tc>
        <w:tc>
          <w:tcPr>
            <w:tcW w:w="2340" w:type="dxa"/>
          </w:tcPr>
          <w:p w:rsidR="00EE4F36" w:rsidRDefault="00EE4F36" w:rsidP="00FD3AC7">
            <w:pPr>
              <w:jc w:val="center"/>
            </w:pPr>
            <w:r>
              <w:t>$ 50</w:t>
            </w:r>
          </w:p>
        </w:tc>
      </w:tr>
      <w:tr w:rsidR="00EE4F36" w:rsidTr="00C477DE">
        <w:trPr>
          <w:jc w:val="center"/>
        </w:trPr>
        <w:tc>
          <w:tcPr>
            <w:tcW w:w="3528" w:type="dxa"/>
          </w:tcPr>
          <w:p w:rsidR="00EE4F36" w:rsidRPr="00EE4F36" w:rsidRDefault="00EE4F36" w:rsidP="00B06BC8">
            <w:pPr>
              <w:rPr>
                <w:b/>
              </w:rPr>
            </w:pPr>
            <w:r w:rsidRPr="00EE4F36">
              <w:rPr>
                <w:b/>
              </w:rPr>
              <w:t>Late Fee</w:t>
            </w:r>
          </w:p>
        </w:tc>
        <w:tc>
          <w:tcPr>
            <w:tcW w:w="1620" w:type="dxa"/>
          </w:tcPr>
          <w:p w:rsidR="00EE4F36" w:rsidRDefault="00EE4F36" w:rsidP="00EE4F36">
            <w:pPr>
              <w:jc w:val="center"/>
            </w:pPr>
            <w:r>
              <w:t>$ 50</w:t>
            </w:r>
          </w:p>
        </w:tc>
        <w:tc>
          <w:tcPr>
            <w:tcW w:w="2340" w:type="dxa"/>
          </w:tcPr>
          <w:p w:rsidR="00EE4F36" w:rsidRDefault="00EE4F36" w:rsidP="00FD3AC7">
            <w:pPr>
              <w:jc w:val="center"/>
            </w:pPr>
            <w:r>
              <w:t>$ 50</w:t>
            </w:r>
          </w:p>
        </w:tc>
      </w:tr>
    </w:tbl>
    <w:p w:rsidR="00EE4F36" w:rsidRDefault="00EE4F36" w:rsidP="00B06BC8"/>
    <w:p w:rsidR="00C477DE" w:rsidRDefault="00C477DE" w:rsidP="00B06BC8"/>
    <w:p w:rsidR="00D177C3" w:rsidRDefault="00C477DE" w:rsidP="00B06BC8">
      <w:r>
        <w:t>The student scholarship announcement and form will be available soon.  The application period is March 31 – April 30.  The announcement will be distributed to Wayne State, University of Michigan, and Oakland Community College, as well as be posted</w:t>
      </w:r>
      <w:r w:rsidR="00540B02">
        <w:t xml:space="preserve"> on the website and t</w:t>
      </w:r>
      <w:r w:rsidR="003707C8">
        <w:t>o the MHSLA and MDMLG listservs, and published in the MHSLA newsletter.</w:t>
      </w:r>
    </w:p>
    <w:p w:rsidR="00540B02" w:rsidRDefault="00540B02" w:rsidP="00B06BC8">
      <w:r>
        <w:lastRenderedPageBreak/>
        <w:t>The first call for poster and lightning round presenters will be going out at the beginning of April, with</w:t>
      </w:r>
      <w:r w:rsidR="003707C8">
        <w:t xml:space="preserve"> a second call going out in early June and</w:t>
      </w:r>
      <w:r>
        <w:t xml:space="preserve"> applications being accepted until July </w:t>
      </w:r>
      <w:r w:rsidR="006D047D">
        <w:t>30, 2014</w:t>
      </w:r>
      <w:r>
        <w:t>.</w:t>
      </w:r>
      <w:r w:rsidR="003707C8">
        <w:t xml:space="preserve">  Announcements will be distributed to the MHSLA, MDMLG, SLA, and LISP listservs, as well as published in the MHSLA newsletter</w:t>
      </w:r>
      <w:r w:rsidR="00573D90">
        <w:t xml:space="preserve"> and posted online</w:t>
      </w:r>
      <w:bookmarkStart w:id="0" w:name="_GoBack"/>
      <w:bookmarkEnd w:id="0"/>
      <w:r w:rsidR="003707C8">
        <w:t>.</w:t>
      </w:r>
    </w:p>
    <w:p w:rsidR="006D047D" w:rsidRDefault="006D047D" w:rsidP="00B06BC8"/>
    <w:p w:rsidR="006D047D" w:rsidRDefault="006D047D" w:rsidP="00B06BC8">
      <w:r>
        <w:t>There is an upcoming MLA webcast on April 16, 2014, from 1-2pm Central time (2-3pm Eastern) titled “Librarians Collaborating to Produce Systematic Reviews: Project Launch to Publication”.  Those sites interested in applying for sponsorship should apply directly to the GMR by March 21, 2014, with announcements being made to applicants by March 25</w:t>
      </w:r>
      <w:r w:rsidRPr="006D047D">
        <w:rPr>
          <w:vertAlign w:val="superscript"/>
        </w:rPr>
        <w:t>th</w:t>
      </w:r>
      <w:r>
        <w:t>.  MHSLA has approved funding for two additional sites that were not successful in being selected by the GMR, and these sites wi</w:t>
      </w:r>
      <w:r w:rsidR="00175EA5">
        <w:t>ll be notified within a similar timeframe</w:t>
      </w:r>
      <w:r>
        <w:t>.</w:t>
      </w:r>
    </w:p>
    <w:p w:rsidR="00D177C3" w:rsidRDefault="00D177C3" w:rsidP="00B06BC8"/>
    <w:p w:rsidR="00D177C3" w:rsidRDefault="00D177C3" w:rsidP="00B06BC8">
      <w:r>
        <w:t>Respectfully submitted,</w:t>
      </w:r>
    </w:p>
    <w:p w:rsidR="002970C5" w:rsidRDefault="00D177C3" w:rsidP="00925C7D">
      <w:r>
        <w:t>Andrea Kepsel</w:t>
      </w:r>
    </w:p>
    <w:sectPr w:rsidR="00297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190B"/>
    <w:multiLevelType w:val="hybridMultilevel"/>
    <w:tmpl w:val="47145A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C8"/>
    <w:rsid w:val="00031FE9"/>
    <w:rsid w:val="000D5B36"/>
    <w:rsid w:val="00175EA5"/>
    <w:rsid w:val="002970C5"/>
    <w:rsid w:val="002E14C4"/>
    <w:rsid w:val="003707C8"/>
    <w:rsid w:val="003B7D8E"/>
    <w:rsid w:val="0051153C"/>
    <w:rsid w:val="00540B02"/>
    <w:rsid w:val="00573D90"/>
    <w:rsid w:val="005E76D2"/>
    <w:rsid w:val="006220D8"/>
    <w:rsid w:val="006D047D"/>
    <w:rsid w:val="007670AE"/>
    <w:rsid w:val="00925C7D"/>
    <w:rsid w:val="00A4503C"/>
    <w:rsid w:val="00A53F83"/>
    <w:rsid w:val="00AE6BF8"/>
    <w:rsid w:val="00B06BC8"/>
    <w:rsid w:val="00BC49BA"/>
    <w:rsid w:val="00C477DE"/>
    <w:rsid w:val="00D177C3"/>
    <w:rsid w:val="00D932A7"/>
    <w:rsid w:val="00E50529"/>
    <w:rsid w:val="00EA5246"/>
    <w:rsid w:val="00ED4DE3"/>
    <w:rsid w:val="00EE4F36"/>
    <w:rsid w:val="00F2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B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B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50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503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4503C"/>
    <w:rPr>
      <w:b/>
      <w:bCs/>
    </w:rPr>
  </w:style>
  <w:style w:type="character" w:customStyle="1" w:styleId="apple-converted-space">
    <w:name w:val="apple-converted-space"/>
    <w:basedOn w:val="DefaultParagraphFont"/>
    <w:rsid w:val="00A4503C"/>
  </w:style>
  <w:style w:type="paragraph" w:styleId="NormalWeb">
    <w:name w:val="Normal (Web)"/>
    <w:basedOn w:val="Normal"/>
    <w:uiPriority w:val="99"/>
    <w:semiHidden/>
    <w:unhideWhenUsed/>
    <w:rsid w:val="00A4503C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EE4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B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B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50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503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4503C"/>
    <w:rPr>
      <w:b/>
      <w:bCs/>
    </w:rPr>
  </w:style>
  <w:style w:type="character" w:customStyle="1" w:styleId="apple-converted-space">
    <w:name w:val="apple-converted-space"/>
    <w:basedOn w:val="DefaultParagraphFont"/>
    <w:rsid w:val="00A4503C"/>
  </w:style>
  <w:style w:type="paragraph" w:styleId="NormalWeb">
    <w:name w:val="Normal (Web)"/>
    <w:basedOn w:val="Normal"/>
    <w:uiPriority w:val="99"/>
    <w:semiHidden/>
    <w:unhideWhenUsed/>
    <w:rsid w:val="00A4503C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EE4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akepsel</dc:creator>
  <cp:lastModifiedBy>akepsel</cp:lastModifiedBy>
  <cp:revision>9</cp:revision>
  <dcterms:created xsi:type="dcterms:W3CDTF">2014-03-17T21:08:00Z</dcterms:created>
  <dcterms:modified xsi:type="dcterms:W3CDTF">2014-03-17T21:55:00Z</dcterms:modified>
</cp:coreProperties>
</file>